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D7EA" w14:textId="2297C66C" w:rsidR="005E1AC7" w:rsidRPr="005E1AC7" w:rsidRDefault="005E1AC7" w:rsidP="008E4A99">
      <w:pPr>
        <w:rPr>
          <w:b/>
          <w:bCs/>
        </w:rPr>
      </w:pPr>
      <w:r w:rsidRPr="005E1AC7">
        <w:rPr>
          <w:b/>
          <w:bCs/>
        </w:rPr>
        <w:t>Please NOTE – I was unable to obtain the full paper as our University does not subscribe to this journal</w:t>
      </w:r>
    </w:p>
    <w:p w14:paraId="00ACE2AD" w14:textId="68BBCFC0" w:rsidR="008E4A99" w:rsidRDefault="008E4A99" w:rsidP="008E4A99">
      <w:r>
        <w:t>Acute Management of Moderate-Severe Traumatic Brain Injury</w:t>
      </w:r>
    </w:p>
    <w:p w14:paraId="0380B2C2" w14:textId="50EBD053" w:rsidR="008E4A99" w:rsidRDefault="008E4A99" w:rsidP="008E4A99">
      <w:proofErr w:type="spellStart"/>
      <w:r>
        <w:t>Wittstatt</w:t>
      </w:r>
      <w:proofErr w:type="spellEnd"/>
      <w:r>
        <w:t xml:space="preserve"> Alexandra Whitaker-Lea, </w:t>
      </w:r>
      <w:proofErr w:type="gramStart"/>
      <w:r>
        <w:t>MD ,</w:t>
      </w:r>
      <w:proofErr w:type="gramEnd"/>
      <w:r>
        <w:t xml:space="preserve"> Alex B. </w:t>
      </w:r>
      <w:proofErr w:type="spellStart"/>
      <w:r>
        <w:t>Valadka</w:t>
      </w:r>
      <w:proofErr w:type="spellEnd"/>
      <w:r>
        <w:t>, MD *</w:t>
      </w:r>
    </w:p>
    <w:p w14:paraId="01A3CFCE" w14:textId="77777777" w:rsidR="008E4A99" w:rsidRDefault="008E4A99" w:rsidP="008E4A99"/>
    <w:p w14:paraId="4954E310" w14:textId="77777777" w:rsidR="008E4A99" w:rsidRDefault="008E4A99" w:rsidP="008E4A99">
      <w:r>
        <w:t>Department of Neurosurgery, Virginia Commonwealth University, 417 North 11th Street, 6th</w:t>
      </w:r>
    </w:p>
    <w:p w14:paraId="5897B899" w14:textId="77777777" w:rsidR="008E4A99" w:rsidRDefault="008E4A99" w:rsidP="008E4A99">
      <w:r>
        <w:t>Floor, PO Box 980631, Richmond, VA 23298-0631, USA</w:t>
      </w:r>
    </w:p>
    <w:p w14:paraId="4F91B2FA" w14:textId="77777777" w:rsidR="008E4A99" w:rsidRDefault="008E4A99" w:rsidP="008E4A99">
      <w:r>
        <w:t>* Corresponding author.</w:t>
      </w:r>
    </w:p>
    <w:p w14:paraId="238C0227" w14:textId="77777777" w:rsidR="008E4A99" w:rsidRDefault="008E4A99" w:rsidP="008E4A99">
      <w:r>
        <w:t>E-mail address: avaladka@gmail.com</w:t>
      </w:r>
    </w:p>
    <w:p w14:paraId="1C84FA2D" w14:textId="77777777" w:rsidR="008E4A99" w:rsidRDefault="008E4A99" w:rsidP="008E4A99"/>
    <w:p w14:paraId="32D77D2E" w14:textId="0467C88A" w:rsidR="008E4A99" w:rsidRDefault="008E4A99" w:rsidP="008E4A99">
      <w:r>
        <w:t>KEY POINTS</w:t>
      </w:r>
    </w:p>
    <w:p w14:paraId="0FEA1293" w14:textId="2ADB1110" w:rsidR="008E4A99" w:rsidRDefault="005E4909" w:rsidP="008E4A99">
      <w:r>
        <w:t>-</w:t>
      </w:r>
      <w:r w:rsidR="008E4A99">
        <w:t xml:space="preserve">Neurocritical care management of traumatic brain injury (TBI) patients </w:t>
      </w:r>
      <w:proofErr w:type="gramStart"/>
      <w:r w:rsidR="008E4A99">
        <w:t>focuses</w:t>
      </w:r>
      <w:proofErr w:type="gramEnd"/>
      <w:r w:rsidR="008E4A99">
        <w:t xml:space="preserve"> on </w:t>
      </w:r>
      <w:proofErr w:type="spellStart"/>
      <w:r w:rsidR="008E4A99">
        <w:t>preven</w:t>
      </w:r>
      <w:proofErr w:type="spellEnd"/>
      <w:r w:rsidR="008E4A99">
        <w:t>-</w:t>
      </w:r>
    </w:p>
    <w:p w14:paraId="21D7421C" w14:textId="77777777" w:rsidR="008E4A99" w:rsidRDefault="008E4A99" w:rsidP="008E4A99">
      <w:proofErr w:type="spellStart"/>
      <w:r>
        <w:t>tion</w:t>
      </w:r>
      <w:proofErr w:type="spellEnd"/>
      <w:r>
        <w:t xml:space="preserve"> and prompt treatment of secondary insults.</w:t>
      </w:r>
    </w:p>
    <w:p w14:paraId="5A0FE232" w14:textId="312A66BC" w:rsidR="008E4A99" w:rsidRDefault="005E4909" w:rsidP="008E4A99">
      <w:r>
        <w:t>-</w:t>
      </w:r>
      <w:r w:rsidR="008E4A99">
        <w:t>The acutely injured brain is highly vulnerable to brief deviations from normal physiologic</w:t>
      </w:r>
    </w:p>
    <w:p w14:paraId="2E657095" w14:textId="77777777" w:rsidR="008E4A99" w:rsidRDefault="008E4A99" w:rsidP="008E4A99">
      <w:r>
        <w:t>values that would normally be well-tolerated.</w:t>
      </w:r>
    </w:p>
    <w:p w14:paraId="049CC47F" w14:textId="42B3FE8F" w:rsidR="008E4A99" w:rsidRDefault="005E4909" w:rsidP="008E4A99">
      <w:r>
        <w:t>-</w:t>
      </w:r>
      <w:r w:rsidR="008E4A99">
        <w:t>Treatments administered prophylactically against intracranial hypertension or other harm-</w:t>
      </w:r>
    </w:p>
    <w:p w14:paraId="0D2AF0BD" w14:textId="77777777" w:rsidR="008E4A99" w:rsidRDefault="008E4A99" w:rsidP="008E4A99">
      <w:proofErr w:type="spellStart"/>
      <w:r>
        <w:t>ful</w:t>
      </w:r>
      <w:proofErr w:type="spellEnd"/>
      <w:r>
        <w:t xml:space="preserve"> sequelae have not been shown to be beneficial in clinical trials and have sometimes</w:t>
      </w:r>
    </w:p>
    <w:p w14:paraId="436249C4" w14:textId="77777777" w:rsidR="008E4A99" w:rsidRDefault="008E4A99" w:rsidP="008E4A99">
      <w:r>
        <w:t>produced undesirable effects.</w:t>
      </w:r>
    </w:p>
    <w:p w14:paraId="2CB4CC81" w14:textId="0E3979A3" w:rsidR="008E4A99" w:rsidRDefault="005E4909" w:rsidP="008E4A99">
      <w:r>
        <w:t>-</w:t>
      </w:r>
      <w:r w:rsidR="008E4A99">
        <w:t xml:space="preserve">Future advances in the management of TBI require treatments tailored </w:t>
      </w:r>
      <w:proofErr w:type="gramStart"/>
      <w:r w:rsidR="008E4A99">
        <w:t>to</w:t>
      </w:r>
      <w:proofErr w:type="gramEnd"/>
      <w:r w:rsidR="008E4A99">
        <w:t xml:space="preserve"> specific sub-</w:t>
      </w:r>
    </w:p>
    <w:p w14:paraId="2F1644B6" w14:textId="77777777" w:rsidR="008E4A99" w:rsidRDefault="008E4A99" w:rsidP="008E4A99">
      <w:r>
        <w:t>types of patients, such as those with diffuse injury or with surgically evacuated traumatic</w:t>
      </w:r>
    </w:p>
    <w:p w14:paraId="3152509A" w14:textId="4CD487C6" w:rsidR="008E4A99" w:rsidRDefault="008E4A99" w:rsidP="008E4A99">
      <w:r>
        <w:t>hematomas</w:t>
      </w:r>
    </w:p>
    <w:p w14:paraId="10699292" w14:textId="3D28A423" w:rsidR="008E4A99" w:rsidRDefault="008E4A99" w:rsidP="008E4A99"/>
    <w:p w14:paraId="2D84789D" w14:textId="77777777" w:rsidR="008E4A99" w:rsidRDefault="008E4A99" w:rsidP="008E4A99">
      <w:r>
        <w:t xml:space="preserve">Phys Med </w:t>
      </w:r>
      <w:proofErr w:type="spellStart"/>
      <w:r>
        <w:t>Rehabil</w:t>
      </w:r>
      <w:proofErr w:type="spellEnd"/>
      <w:r>
        <w:t xml:space="preserve"> Clin N Am 28 (2017) 227–243</w:t>
      </w:r>
    </w:p>
    <w:p w14:paraId="4E13E3AB" w14:textId="77777777" w:rsidR="008E4A99" w:rsidRDefault="008E4A99" w:rsidP="008E4A99">
      <w:r>
        <w:t>http://dx.doi.org/10.1016/j.pmr.2016.12.002 pmr.theclinics.com</w:t>
      </w:r>
    </w:p>
    <w:p w14:paraId="5B2D95ED" w14:textId="629C4354" w:rsidR="008E4A99" w:rsidRDefault="008E4A99" w:rsidP="008E4A99">
      <w:r>
        <w:t>1047-9651/17/ª 2017 Elsevier Inc. All rights reserved.</w:t>
      </w:r>
    </w:p>
    <w:p w14:paraId="1FCFD73E" w14:textId="03812451" w:rsidR="005F7C9A" w:rsidRDefault="005F7C9A" w:rsidP="008E4A99">
      <w:pPr>
        <w:pBdr>
          <w:bottom w:val="single" w:sz="12" w:space="1" w:color="auto"/>
        </w:pBdr>
      </w:pPr>
    </w:p>
    <w:p w14:paraId="46382212" w14:textId="727FDCDC" w:rsidR="005F7C9A" w:rsidRDefault="005F7C9A" w:rsidP="008E4A99"/>
    <w:p w14:paraId="60CFAAA3" w14:textId="77777777" w:rsidR="005F7C9A" w:rsidRPr="005F7C9A" w:rsidRDefault="005F7C9A" w:rsidP="005F7C9A">
      <w:pPr>
        <w:spacing w:before="100" w:beforeAutospacing="1" w:after="100" w:afterAutospacing="1"/>
        <w:outlineLvl w:val="0"/>
        <w:rPr>
          <w:rFonts w:ascii="Times New Roman" w:eastAsia="Times New Roman" w:hAnsi="Times New Roman" w:cs="Times New Roman"/>
          <w:b/>
          <w:bCs/>
          <w:kern w:val="36"/>
        </w:rPr>
      </w:pPr>
      <w:r w:rsidRPr="005F7C9A">
        <w:rPr>
          <w:rFonts w:ascii="Times New Roman" w:eastAsia="Times New Roman" w:hAnsi="Times New Roman" w:cs="Times New Roman"/>
          <w:b/>
          <w:bCs/>
          <w:kern w:val="36"/>
        </w:rPr>
        <w:t xml:space="preserve">Associations between intracranial pressure thresholds and multimodal monitoring in acute traumatic neural injury: a scoping review </w:t>
      </w:r>
    </w:p>
    <w:p w14:paraId="19D20D41" w14:textId="77777777" w:rsidR="005F7C9A" w:rsidRPr="005F7C9A" w:rsidRDefault="00000000" w:rsidP="005F7C9A">
      <w:pPr>
        <w:rPr>
          <w:rFonts w:ascii="Times New Roman" w:eastAsia="Times New Roman" w:hAnsi="Times New Roman" w:cs="Times New Roman"/>
        </w:rPr>
      </w:pPr>
      <w:hyperlink r:id="rId5" w:history="1">
        <w:r w:rsidR="005F7C9A" w:rsidRPr="005F7C9A">
          <w:rPr>
            <w:rFonts w:ascii="Times New Roman" w:eastAsia="Times New Roman" w:hAnsi="Times New Roman" w:cs="Times New Roman"/>
            <w:color w:val="0000FF"/>
            <w:u w:val="single"/>
          </w:rPr>
          <w:t>Kevin Y Stein</w:t>
        </w:r>
      </w:hyperlink>
      <w:r w:rsidR="005F7C9A" w:rsidRPr="005F7C9A">
        <w:rPr>
          <w:rFonts w:ascii="Times New Roman" w:eastAsia="Times New Roman" w:hAnsi="Times New Roman" w:cs="Times New Roman"/>
          <w:vertAlign w:val="superscript"/>
        </w:rPr>
        <w:t> </w:t>
      </w:r>
      <w:hyperlink r:id="rId6" w:anchor="full-view-affiliation-1" w:tooltip="Biomedical Engineering, Price Faculty of Engineering, University of Manitoba, Winnipeg, Canada. steink34@myumanitoba.ca." w:history="1">
        <w:r w:rsidR="005F7C9A" w:rsidRPr="005F7C9A">
          <w:rPr>
            <w:rFonts w:ascii="Times New Roman" w:eastAsia="Times New Roman" w:hAnsi="Times New Roman" w:cs="Times New Roman"/>
            <w:color w:val="0000FF"/>
            <w:u w:val="single"/>
            <w:vertAlign w:val="superscript"/>
          </w:rPr>
          <w:t xml:space="preserve"> 1 </w:t>
        </w:r>
      </w:hyperlink>
      <w:r w:rsidR="005F7C9A" w:rsidRPr="005F7C9A">
        <w:rPr>
          <w:rFonts w:ascii="Times New Roman" w:eastAsia="Times New Roman" w:hAnsi="Times New Roman" w:cs="Times New Roman"/>
        </w:rPr>
        <w:t>, </w:t>
      </w:r>
      <w:hyperlink r:id="rId7" w:history="1">
        <w:r w:rsidR="005F7C9A" w:rsidRPr="005F7C9A">
          <w:rPr>
            <w:rFonts w:ascii="Times New Roman" w:eastAsia="Times New Roman" w:hAnsi="Times New Roman" w:cs="Times New Roman"/>
            <w:color w:val="0000FF"/>
            <w:u w:val="single"/>
          </w:rPr>
          <w:t xml:space="preserve">Fiorella </w:t>
        </w:r>
        <w:proofErr w:type="spellStart"/>
        <w:r w:rsidR="005F7C9A" w:rsidRPr="005F7C9A">
          <w:rPr>
            <w:rFonts w:ascii="Times New Roman" w:eastAsia="Times New Roman" w:hAnsi="Times New Roman" w:cs="Times New Roman"/>
            <w:color w:val="0000FF"/>
            <w:u w:val="single"/>
          </w:rPr>
          <w:t>Amenta</w:t>
        </w:r>
        <w:proofErr w:type="spellEnd"/>
      </w:hyperlink>
      <w:r w:rsidR="005F7C9A" w:rsidRPr="005F7C9A">
        <w:rPr>
          <w:rFonts w:ascii="Times New Roman" w:eastAsia="Times New Roman" w:hAnsi="Times New Roman" w:cs="Times New Roman"/>
          <w:vertAlign w:val="superscript"/>
        </w:rPr>
        <w:t> </w:t>
      </w:r>
      <w:hyperlink r:id="rId8" w:anchor="full-view-affiliation-2" w:tooltip="Biomedical Engineering, Price Faculty of Engineering, University of Manitoba, Winnipeg, Canada." w:history="1">
        <w:r w:rsidR="005F7C9A" w:rsidRPr="005F7C9A">
          <w:rPr>
            <w:rFonts w:ascii="Times New Roman" w:eastAsia="Times New Roman" w:hAnsi="Times New Roman" w:cs="Times New Roman"/>
            <w:color w:val="0000FF"/>
            <w:u w:val="single"/>
            <w:vertAlign w:val="superscript"/>
          </w:rPr>
          <w:t xml:space="preserve"> 2 </w:t>
        </w:r>
      </w:hyperlink>
      <w:r w:rsidR="005F7C9A" w:rsidRPr="005F7C9A">
        <w:rPr>
          <w:rFonts w:ascii="Times New Roman" w:eastAsia="Times New Roman" w:hAnsi="Times New Roman" w:cs="Times New Roman"/>
        </w:rPr>
        <w:t>, </w:t>
      </w:r>
      <w:hyperlink r:id="rId9" w:history="1">
        <w:r w:rsidR="005F7C9A" w:rsidRPr="005F7C9A">
          <w:rPr>
            <w:rFonts w:ascii="Times New Roman" w:eastAsia="Times New Roman" w:hAnsi="Times New Roman" w:cs="Times New Roman"/>
            <w:color w:val="0000FF"/>
            <w:u w:val="single"/>
          </w:rPr>
          <w:t>Alwyn Gomez</w:t>
        </w:r>
      </w:hyperlink>
      <w:r w:rsidR="005F7C9A" w:rsidRPr="005F7C9A">
        <w:rPr>
          <w:rFonts w:ascii="Times New Roman" w:eastAsia="Times New Roman" w:hAnsi="Times New Roman" w:cs="Times New Roman"/>
          <w:vertAlign w:val="superscript"/>
        </w:rPr>
        <w:t> </w:t>
      </w:r>
      <w:hyperlink r:id="rId10" w:anchor="full-view-affiliation-3" w:tooltip="Section of Neurosurgery, Department of Surgery, Rady Faculty of Health Sciences, University of Manitoba, Winnipeg, Canada." w:history="1">
        <w:r w:rsidR="005F7C9A" w:rsidRPr="005F7C9A">
          <w:rPr>
            <w:rFonts w:ascii="Times New Roman" w:eastAsia="Times New Roman" w:hAnsi="Times New Roman" w:cs="Times New Roman"/>
            <w:color w:val="0000FF"/>
            <w:u w:val="single"/>
            <w:vertAlign w:val="superscript"/>
          </w:rPr>
          <w:t xml:space="preserve"> 3 </w:t>
        </w:r>
      </w:hyperlink>
      <w:r w:rsidR="005F7C9A" w:rsidRPr="005F7C9A">
        <w:rPr>
          <w:rFonts w:ascii="Times New Roman" w:eastAsia="Times New Roman" w:hAnsi="Times New Roman" w:cs="Times New Roman"/>
          <w:vertAlign w:val="superscript"/>
        </w:rPr>
        <w:t> </w:t>
      </w:r>
      <w:hyperlink r:id="rId11" w:anchor="full-view-affiliation-4" w:tooltip="Department of Human Anatomy and Cell Science, Rady Faculty of Health Sciences, University of Manitoba, Winnipeg, Canada." w:history="1">
        <w:r w:rsidR="005F7C9A" w:rsidRPr="005F7C9A">
          <w:rPr>
            <w:rFonts w:ascii="Times New Roman" w:eastAsia="Times New Roman" w:hAnsi="Times New Roman" w:cs="Times New Roman"/>
            <w:color w:val="0000FF"/>
            <w:u w:val="single"/>
            <w:vertAlign w:val="superscript"/>
          </w:rPr>
          <w:t xml:space="preserve"> 4 </w:t>
        </w:r>
      </w:hyperlink>
      <w:r w:rsidR="005F7C9A" w:rsidRPr="005F7C9A">
        <w:rPr>
          <w:rFonts w:ascii="Times New Roman" w:eastAsia="Times New Roman" w:hAnsi="Times New Roman" w:cs="Times New Roman"/>
        </w:rPr>
        <w:t>, </w:t>
      </w:r>
      <w:hyperlink r:id="rId12" w:history="1">
        <w:r w:rsidR="005F7C9A" w:rsidRPr="005F7C9A">
          <w:rPr>
            <w:rFonts w:ascii="Times New Roman" w:eastAsia="Times New Roman" w:hAnsi="Times New Roman" w:cs="Times New Roman"/>
            <w:color w:val="0000FF"/>
            <w:u w:val="single"/>
          </w:rPr>
          <w:t>Logan Froese</w:t>
        </w:r>
      </w:hyperlink>
      <w:r w:rsidR="005F7C9A" w:rsidRPr="005F7C9A">
        <w:rPr>
          <w:rFonts w:ascii="Times New Roman" w:eastAsia="Times New Roman" w:hAnsi="Times New Roman" w:cs="Times New Roman"/>
          <w:vertAlign w:val="superscript"/>
        </w:rPr>
        <w:t> </w:t>
      </w:r>
      <w:hyperlink r:id="rId13" w:anchor="full-view-affiliation-2" w:tooltip="Biomedical Engineering, Price Faculty of Engineering, University of Manitoba, Winnipeg, Canada." w:history="1">
        <w:r w:rsidR="005F7C9A" w:rsidRPr="005F7C9A">
          <w:rPr>
            <w:rFonts w:ascii="Times New Roman" w:eastAsia="Times New Roman" w:hAnsi="Times New Roman" w:cs="Times New Roman"/>
            <w:color w:val="0000FF"/>
            <w:u w:val="single"/>
            <w:vertAlign w:val="superscript"/>
          </w:rPr>
          <w:t xml:space="preserve"> 2 </w:t>
        </w:r>
      </w:hyperlink>
      <w:r w:rsidR="005F7C9A" w:rsidRPr="005F7C9A">
        <w:rPr>
          <w:rFonts w:ascii="Times New Roman" w:eastAsia="Times New Roman" w:hAnsi="Times New Roman" w:cs="Times New Roman"/>
        </w:rPr>
        <w:t>, </w:t>
      </w:r>
      <w:proofErr w:type="spellStart"/>
      <w:r w:rsidR="005F7C9A" w:rsidRPr="005F7C9A">
        <w:rPr>
          <w:rFonts w:ascii="Times New Roman" w:eastAsia="Times New Roman" w:hAnsi="Times New Roman" w:cs="Times New Roman"/>
        </w:rPr>
        <w:fldChar w:fldCharType="begin"/>
      </w:r>
      <w:r w:rsidR="005F7C9A" w:rsidRPr="005F7C9A">
        <w:rPr>
          <w:rFonts w:ascii="Times New Roman" w:eastAsia="Times New Roman" w:hAnsi="Times New Roman" w:cs="Times New Roman"/>
        </w:rPr>
        <w:instrText xml:space="preserve"> HYPERLINK "https://pubmed.ncbi.nlm.nih.gov/?sort=date&amp;term=Sainbhi+AS&amp;cauthor_id=37067617" </w:instrText>
      </w:r>
      <w:r w:rsidR="005F7C9A" w:rsidRPr="005F7C9A">
        <w:rPr>
          <w:rFonts w:ascii="Times New Roman" w:eastAsia="Times New Roman" w:hAnsi="Times New Roman" w:cs="Times New Roman"/>
        </w:rPr>
      </w:r>
      <w:r w:rsidR="005F7C9A" w:rsidRPr="005F7C9A">
        <w:rPr>
          <w:rFonts w:ascii="Times New Roman" w:eastAsia="Times New Roman" w:hAnsi="Times New Roman" w:cs="Times New Roman"/>
        </w:rPr>
        <w:fldChar w:fldCharType="separate"/>
      </w:r>
      <w:r w:rsidR="005F7C9A" w:rsidRPr="005F7C9A">
        <w:rPr>
          <w:rFonts w:ascii="Times New Roman" w:eastAsia="Times New Roman" w:hAnsi="Times New Roman" w:cs="Times New Roman"/>
          <w:color w:val="0000FF"/>
          <w:u w:val="single"/>
        </w:rPr>
        <w:t>Amanjyot</w:t>
      </w:r>
      <w:proofErr w:type="spellEnd"/>
      <w:r w:rsidR="005F7C9A" w:rsidRPr="005F7C9A">
        <w:rPr>
          <w:rFonts w:ascii="Times New Roman" w:eastAsia="Times New Roman" w:hAnsi="Times New Roman" w:cs="Times New Roman"/>
          <w:color w:val="0000FF"/>
          <w:u w:val="single"/>
        </w:rPr>
        <w:t xml:space="preserve"> Singh </w:t>
      </w:r>
      <w:proofErr w:type="spellStart"/>
      <w:r w:rsidR="005F7C9A" w:rsidRPr="005F7C9A">
        <w:rPr>
          <w:rFonts w:ascii="Times New Roman" w:eastAsia="Times New Roman" w:hAnsi="Times New Roman" w:cs="Times New Roman"/>
          <w:color w:val="0000FF"/>
          <w:u w:val="single"/>
        </w:rPr>
        <w:t>Sainbhi</w:t>
      </w:r>
      <w:proofErr w:type="spellEnd"/>
      <w:r w:rsidR="005F7C9A" w:rsidRPr="005F7C9A">
        <w:rPr>
          <w:rFonts w:ascii="Times New Roman" w:eastAsia="Times New Roman" w:hAnsi="Times New Roman" w:cs="Times New Roman"/>
        </w:rPr>
        <w:fldChar w:fldCharType="end"/>
      </w:r>
      <w:r w:rsidR="005F7C9A" w:rsidRPr="005F7C9A">
        <w:rPr>
          <w:rFonts w:ascii="Times New Roman" w:eastAsia="Times New Roman" w:hAnsi="Times New Roman" w:cs="Times New Roman"/>
          <w:vertAlign w:val="superscript"/>
        </w:rPr>
        <w:t> </w:t>
      </w:r>
      <w:hyperlink r:id="rId14" w:anchor="full-view-affiliation-2" w:tooltip="Biomedical Engineering, Price Faculty of Engineering, University of Manitoba, Winnipeg, Canada." w:history="1">
        <w:r w:rsidR="005F7C9A" w:rsidRPr="005F7C9A">
          <w:rPr>
            <w:rFonts w:ascii="Times New Roman" w:eastAsia="Times New Roman" w:hAnsi="Times New Roman" w:cs="Times New Roman"/>
            <w:color w:val="0000FF"/>
            <w:u w:val="single"/>
            <w:vertAlign w:val="superscript"/>
          </w:rPr>
          <w:t xml:space="preserve"> 2 </w:t>
        </w:r>
      </w:hyperlink>
      <w:r w:rsidR="005F7C9A" w:rsidRPr="005F7C9A">
        <w:rPr>
          <w:rFonts w:ascii="Times New Roman" w:eastAsia="Times New Roman" w:hAnsi="Times New Roman" w:cs="Times New Roman"/>
        </w:rPr>
        <w:t>, </w:t>
      </w:r>
      <w:proofErr w:type="spellStart"/>
      <w:r w:rsidR="005F7C9A" w:rsidRPr="005F7C9A">
        <w:rPr>
          <w:rFonts w:ascii="Times New Roman" w:eastAsia="Times New Roman" w:hAnsi="Times New Roman" w:cs="Times New Roman"/>
        </w:rPr>
        <w:fldChar w:fldCharType="begin"/>
      </w:r>
      <w:r w:rsidR="005F7C9A" w:rsidRPr="005F7C9A">
        <w:rPr>
          <w:rFonts w:ascii="Times New Roman" w:eastAsia="Times New Roman" w:hAnsi="Times New Roman" w:cs="Times New Roman"/>
        </w:rPr>
        <w:instrText xml:space="preserve"> HYPERLINK "https://pubmed.ncbi.nlm.nih.gov/?sort=date&amp;term=Vakitbilir+N&amp;cauthor_id=37067617" </w:instrText>
      </w:r>
      <w:r w:rsidR="005F7C9A" w:rsidRPr="005F7C9A">
        <w:rPr>
          <w:rFonts w:ascii="Times New Roman" w:eastAsia="Times New Roman" w:hAnsi="Times New Roman" w:cs="Times New Roman"/>
        </w:rPr>
      </w:r>
      <w:r w:rsidR="005F7C9A" w:rsidRPr="005F7C9A">
        <w:rPr>
          <w:rFonts w:ascii="Times New Roman" w:eastAsia="Times New Roman" w:hAnsi="Times New Roman" w:cs="Times New Roman"/>
        </w:rPr>
        <w:fldChar w:fldCharType="separate"/>
      </w:r>
      <w:r w:rsidR="005F7C9A" w:rsidRPr="005F7C9A">
        <w:rPr>
          <w:rFonts w:ascii="Times New Roman" w:eastAsia="Times New Roman" w:hAnsi="Times New Roman" w:cs="Times New Roman"/>
          <w:color w:val="0000FF"/>
          <w:u w:val="single"/>
        </w:rPr>
        <w:t>Nuray</w:t>
      </w:r>
      <w:proofErr w:type="spellEnd"/>
      <w:r w:rsidR="005F7C9A" w:rsidRPr="005F7C9A">
        <w:rPr>
          <w:rFonts w:ascii="Times New Roman" w:eastAsia="Times New Roman" w:hAnsi="Times New Roman" w:cs="Times New Roman"/>
          <w:color w:val="0000FF"/>
          <w:u w:val="single"/>
        </w:rPr>
        <w:t xml:space="preserve"> </w:t>
      </w:r>
      <w:proofErr w:type="spellStart"/>
      <w:r w:rsidR="005F7C9A" w:rsidRPr="005F7C9A">
        <w:rPr>
          <w:rFonts w:ascii="Times New Roman" w:eastAsia="Times New Roman" w:hAnsi="Times New Roman" w:cs="Times New Roman"/>
          <w:color w:val="0000FF"/>
          <w:u w:val="single"/>
        </w:rPr>
        <w:t>Vakitbilir</w:t>
      </w:r>
      <w:proofErr w:type="spellEnd"/>
      <w:r w:rsidR="005F7C9A" w:rsidRPr="005F7C9A">
        <w:rPr>
          <w:rFonts w:ascii="Times New Roman" w:eastAsia="Times New Roman" w:hAnsi="Times New Roman" w:cs="Times New Roman"/>
        </w:rPr>
        <w:fldChar w:fldCharType="end"/>
      </w:r>
      <w:r w:rsidR="005F7C9A" w:rsidRPr="005F7C9A">
        <w:rPr>
          <w:rFonts w:ascii="Times New Roman" w:eastAsia="Times New Roman" w:hAnsi="Times New Roman" w:cs="Times New Roman"/>
          <w:vertAlign w:val="superscript"/>
        </w:rPr>
        <w:t> </w:t>
      </w:r>
      <w:hyperlink r:id="rId15" w:anchor="full-view-affiliation-2" w:tooltip="Biomedical Engineering, Price Faculty of Engineering, University of Manitoba, Winnipeg, Canada." w:history="1">
        <w:r w:rsidR="005F7C9A" w:rsidRPr="005F7C9A">
          <w:rPr>
            <w:rFonts w:ascii="Times New Roman" w:eastAsia="Times New Roman" w:hAnsi="Times New Roman" w:cs="Times New Roman"/>
            <w:color w:val="0000FF"/>
            <w:u w:val="single"/>
            <w:vertAlign w:val="superscript"/>
          </w:rPr>
          <w:t xml:space="preserve"> 2 </w:t>
        </w:r>
      </w:hyperlink>
      <w:r w:rsidR="005F7C9A" w:rsidRPr="005F7C9A">
        <w:rPr>
          <w:rFonts w:ascii="Times New Roman" w:eastAsia="Times New Roman" w:hAnsi="Times New Roman" w:cs="Times New Roman"/>
        </w:rPr>
        <w:t>, </w:t>
      </w:r>
      <w:hyperlink r:id="rId16" w:history="1">
        <w:r w:rsidR="005F7C9A" w:rsidRPr="005F7C9A">
          <w:rPr>
            <w:rFonts w:ascii="Times New Roman" w:eastAsia="Times New Roman" w:hAnsi="Times New Roman" w:cs="Times New Roman"/>
            <w:color w:val="0000FF"/>
            <w:u w:val="single"/>
          </w:rPr>
          <w:t>Izabella Marquez</w:t>
        </w:r>
      </w:hyperlink>
      <w:r w:rsidR="005F7C9A" w:rsidRPr="005F7C9A">
        <w:rPr>
          <w:rFonts w:ascii="Times New Roman" w:eastAsia="Times New Roman" w:hAnsi="Times New Roman" w:cs="Times New Roman"/>
          <w:vertAlign w:val="superscript"/>
        </w:rPr>
        <w:t> </w:t>
      </w:r>
      <w:hyperlink r:id="rId17" w:anchor="full-view-affiliation-2" w:tooltip="Biomedical Engineering, Price Faculty of Engineering, University of Manitoba, Winnipeg, Canada." w:history="1">
        <w:r w:rsidR="005F7C9A" w:rsidRPr="005F7C9A">
          <w:rPr>
            <w:rFonts w:ascii="Times New Roman" w:eastAsia="Times New Roman" w:hAnsi="Times New Roman" w:cs="Times New Roman"/>
            <w:color w:val="0000FF"/>
            <w:u w:val="single"/>
            <w:vertAlign w:val="superscript"/>
          </w:rPr>
          <w:t xml:space="preserve"> 2 </w:t>
        </w:r>
      </w:hyperlink>
      <w:r w:rsidR="005F7C9A" w:rsidRPr="005F7C9A">
        <w:rPr>
          <w:rFonts w:ascii="Times New Roman" w:eastAsia="Times New Roman" w:hAnsi="Times New Roman" w:cs="Times New Roman"/>
        </w:rPr>
        <w:t>, </w:t>
      </w:r>
      <w:hyperlink r:id="rId18" w:history="1">
        <w:r w:rsidR="005F7C9A" w:rsidRPr="005F7C9A">
          <w:rPr>
            <w:rFonts w:ascii="Times New Roman" w:eastAsia="Times New Roman" w:hAnsi="Times New Roman" w:cs="Times New Roman"/>
            <w:color w:val="0000FF"/>
            <w:u w:val="single"/>
          </w:rPr>
          <w:t xml:space="preserve">Frederick A </w:t>
        </w:r>
        <w:proofErr w:type="spellStart"/>
        <w:r w:rsidR="005F7C9A" w:rsidRPr="005F7C9A">
          <w:rPr>
            <w:rFonts w:ascii="Times New Roman" w:eastAsia="Times New Roman" w:hAnsi="Times New Roman" w:cs="Times New Roman"/>
            <w:color w:val="0000FF"/>
            <w:u w:val="single"/>
          </w:rPr>
          <w:t>Zeiler</w:t>
        </w:r>
        <w:proofErr w:type="spellEnd"/>
      </w:hyperlink>
      <w:r w:rsidR="005F7C9A" w:rsidRPr="005F7C9A">
        <w:rPr>
          <w:rFonts w:ascii="Times New Roman" w:eastAsia="Times New Roman" w:hAnsi="Times New Roman" w:cs="Times New Roman"/>
          <w:vertAlign w:val="superscript"/>
        </w:rPr>
        <w:t> </w:t>
      </w:r>
      <w:hyperlink r:id="rId19" w:anchor="full-view-affiliation-2" w:tooltip="Biomedical Engineering, Price Faculty of Engineering, University of Manitoba, Winnipeg, Canada." w:history="1">
        <w:r w:rsidR="005F7C9A" w:rsidRPr="005F7C9A">
          <w:rPr>
            <w:rFonts w:ascii="Times New Roman" w:eastAsia="Times New Roman" w:hAnsi="Times New Roman" w:cs="Times New Roman"/>
            <w:color w:val="0000FF"/>
            <w:u w:val="single"/>
            <w:vertAlign w:val="superscript"/>
          </w:rPr>
          <w:t xml:space="preserve"> 2 </w:t>
        </w:r>
      </w:hyperlink>
      <w:r w:rsidR="005F7C9A" w:rsidRPr="005F7C9A">
        <w:rPr>
          <w:rFonts w:ascii="Times New Roman" w:eastAsia="Times New Roman" w:hAnsi="Times New Roman" w:cs="Times New Roman"/>
          <w:vertAlign w:val="superscript"/>
        </w:rPr>
        <w:t> </w:t>
      </w:r>
      <w:hyperlink r:id="rId20" w:anchor="full-view-affiliation-3" w:tooltip="Section of Neurosurgery, Department of Surgery, Rady Faculty of Health Sciences, University of Manitoba, Winnipeg, Canada." w:history="1">
        <w:r w:rsidR="005F7C9A" w:rsidRPr="005F7C9A">
          <w:rPr>
            <w:rFonts w:ascii="Times New Roman" w:eastAsia="Times New Roman" w:hAnsi="Times New Roman" w:cs="Times New Roman"/>
            <w:color w:val="0000FF"/>
            <w:u w:val="single"/>
            <w:vertAlign w:val="superscript"/>
          </w:rPr>
          <w:t xml:space="preserve"> 3 </w:t>
        </w:r>
      </w:hyperlink>
      <w:r w:rsidR="005F7C9A" w:rsidRPr="005F7C9A">
        <w:rPr>
          <w:rFonts w:ascii="Times New Roman" w:eastAsia="Times New Roman" w:hAnsi="Times New Roman" w:cs="Times New Roman"/>
          <w:vertAlign w:val="superscript"/>
        </w:rPr>
        <w:t> </w:t>
      </w:r>
      <w:hyperlink r:id="rId21" w:anchor="full-view-affiliation-4" w:tooltip="Department of Human Anatomy and Cell Science, Rady Faculty of Health Sciences, University of Manitoba, Winnipeg, Canada." w:history="1">
        <w:r w:rsidR="005F7C9A" w:rsidRPr="005F7C9A">
          <w:rPr>
            <w:rFonts w:ascii="Times New Roman" w:eastAsia="Times New Roman" w:hAnsi="Times New Roman" w:cs="Times New Roman"/>
            <w:color w:val="0000FF"/>
            <w:u w:val="single"/>
            <w:vertAlign w:val="superscript"/>
          </w:rPr>
          <w:t xml:space="preserve"> 4 </w:t>
        </w:r>
      </w:hyperlink>
      <w:r w:rsidR="005F7C9A" w:rsidRPr="005F7C9A">
        <w:rPr>
          <w:rFonts w:ascii="Times New Roman" w:eastAsia="Times New Roman" w:hAnsi="Times New Roman" w:cs="Times New Roman"/>
          <w:vertAlign w:val="superscript"/>
        </w:rPr>
        <w:t> </w:t>
      </w:r>
      <w:hyperlink r:id="rId22" w:anchor="full-view-affiliation-5" w:tooltip="Department of Clinical Neuroscience, Karolinska Institutet, Stockholm, Sweden." w:history="1">
        <w:r w:rsidR="005F7C9A" w:rsidRPr="005F7C9A">
          <w:rPr>
            <w:rFonts w:ascii="Times New Roman" w:eastAsia="Times New Roman" w:hAnsi="Times New Roman" w:cs="Times New Roman"/>
            <w:color w:val="0000FF"/>
            <w:u w:val="single"/>
            <w:vertAlign w:val="superscript"/>
          </w:rPr>
          <w:t xml:space="preserve"> 5 </w:t>
        </w:r>
      </w:hyperlink>
      <w:r w:rsidR="005F7C9A" w:rsidRPr="005F7C9A">
        <w:rPr>
          <w:rFonts w:ascii="Times New Roman" w:eastAsia="Times New Roman" w:hAnsi="Times New Roman" w:cs="Times New Roman"/>
          <w:vertAlign w:val="superscript"/>
        </w:rPr>
        <w:t> </w:t>
      </w:r>
      <w:hyperlink r:id="rId23" w:anchor="full-view-affiliation-6" w:tooltip="Division of Anaesthesia, Department of Medicine, Addenbrooke's Hospital, University of Cambridge, Cambridge, UK." w:history="1">
        <w:r w:rsidR="005F7C9A" w:rsidRPr="005F7C9A">
          <w:rPr>
            <w:rFonts w:ascii="Times New Roman" w:eastAsia="Times New Roman" w:hAnsi="Times New Roman" w:cs="Times New Roman"/>
            <w:color w:val="0000FF"/>
            <w:u w:val="single"/>
            <w:vertAlign w:val="superscript"/>
          </w:rPr>
          <w:t xml:space="preserve"> 6 </w:t>
        </w:r>
      </w:hyperlink>
      <w:r w:rsidR="005F7C9A" w:rsidRPr="005F7C9A">
        <w:rPr>
          <w:rFonts w:ascii="Times New Roman" w:eastAsia="Times New Roman" w:hAnsi="Times New Roman" w:cs="Times New Roman"/>
          <w:vertAlign w:val="superscript"/>
        </w:rPr>
        <w:t> </w:t>
      </w:r>
      <w:hyperlink r:id="rId24" w:anchor="full-view-affiliation-7" w:tooltip="Centre on Aging, University of Manitoba, Winnipeg, Canada." w:history="1">
        <w:r w:rsidR="005F7C9A" w:rsidRPr="005F7C9A">
          <w:rPr>
            <w:rFonts w:ascii="Times New Roman" w:eastAsia="Times New Roman" w:hAnsi="Times New Roman" w:cs="Times New Roman"/>
            <w:color w:val="0000FF"/>
            <w:u w:val="single"/>
            <w:vertAlign w:val="superscript"/>
          </w:rPr>
          <w:t xml:space="preserve"> 7 </w:t>
        </w:r>
      </w:hyperlink>
    </w:p>
    <w:p w14:paraId="2A532884" w14:textId="77777777" w:rsidR="005F7C9A" w:rsidRPr="005F7C9A" w:rsidRDefault="005F7C9A" w:rsidP="005F7C9A">
      <w:pPr>
        <w:rPr>
          <w:rFonts w:ascii="Times New Roman" w:eastAsia="Times New Roman" w:hAnsi="Times New Roman" w:cs="Times New Roman"/>
        </w:rPr>
      </w:pPr>
      <w:r w:rsidRPr="005F7C9A">
        <w:rPr>
          <w:rFonts w:ascii="Times New Roman" w:eastAsia="Times New Roman" w:hAnsi="Times New Roman" w:cs="Times New Roman"/>
        </w:rPr>
        <w:t xml:space="preserve">Affiliations </w:t>
      </w:r>
    </w:p>
    <w:p w14:paraId="534628BE" w14:textId="77777777" w:rsidR="005F7C9A" w:rsidRPr="005F7C9A" w:rsidRDefault="005F7C9A" w:rsidP="005F7C9A">
      <w:pPr>
        <w:numPr>
          <w:ilvl w:val="0"/>
          <w:numId w:val="1"/>
        </w:numP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rPr>
        <w:t xml:space="preserve">PMID: </w:t>
      </w:r>
      <w:r w:rsidRPr="005F7C9A">
        <w:rPr>
          <w:rFonts w:ascii="Times New Roman" w:eastAsia="Times New Roman" w:hAnsi="Times New Roman" w:cs="Times New Roman"/>
          <w:b/>
          <w:bCs/>
        </w:rPr>
        <w:t>37067617</w:t>
      </w:r>
      <w:r w:rsidRPr="005F7C9A">
        <w:rPr>
          <w:rFonts w:ascii="Times New Roman" w:eastAsia="Times New Roman" w:hAnsi="Times New Roman" w:cs="Times New Roman"/>
        </w:rPr>
        <w:t xml:space="preserve"> </w:t>
      </w:r>
    </w:p>
    <w:p w14:paraId="4595E43A" w14:textId="77777777" w:rsidR="005F7C9A" w:rsidRPr="005F7C9A" w:rsidRDefault="005F7C9A" w:rsidP="005F7C9A">
      <w:pPr>
        <w:numPr>
          <w:ilvl w:val="0"/>
          <w:numId w:val="1"/>
        </w:numP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rPr>
        <w:t xml:space="preserve">DOI: </w:t>
      </w:r>
      <w:hyperlink r:id="rId25" w:tgtFrame="_blank" w:history="1">
        <w:r w:rsidRPr="005F7C9A">
          <w:rPr>
            <w:rFonts w:ascii="Times New Roman" w:eastAsia="Times New Roman" w:hAnsi="Times New Roman" w:cs="Times New Roman"/>
            <w:color w:val="0000FF"/>
            <w:u w:val="single"/>
          </w:rPr>
          <w:t xml:space="preserve">10.1007/s00701-023-05587-6 </w:t>
        </w:r>
      </w:hyperlink>
    </w:p>
    <w:p w14:paraId="6C99F975" w14:textId="43BCC875" w:rsidR="005F7C9A" w:rsidRPr="00E56E20" w:rsidRDefault="005F7C9A" w:rsidP="00E56E20">
      <w:pPr>
        <w:spacing w:before="100" w:beforeAutospacing="1" w:after="100" w:afterAutospacing="1"/>
        <w:outlineLvl w:val="1"/>
        <w:rPr>
          <w:rFonts w:ascii="Times New Roman" w:eastAsia="Times New Roman" w:hAnsi="Times New Roman" w:cs="Times New Roman"/>
          <w:b/>
          <w:bCs/>
        </w:rPr>
      </w:pPr>
      <w:r w:rsidRPr="005F7C9A">
        <w:rPr>
          <w:rFonts w:ascii="Times New Roman" w:eastAsia="Times New Roman" w:hAnsi="Times New Roman" w:cs="Times New Roman"/>
          <w:b/>
          <w:bCs/>
        </w:rPr>
        <w:t xml:space="preserve">Abstract </w:t>
      </w:r>
    </w:p>
    <w:p w14:paraId="0F5741BB" w14:textId="5704C22C" w:rsidR="005F7C9A" w:rsidRPr="005F7C9A" w:rsidRDefault="005F7C9A" w:rsidP="005F7C9A">
      <w:pP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b/>
          <w:bCs/>
        </w:rPr>
        <w:t xml:space="preserve">Background: </w:t>
      </w:r>
      <w:r w:rsidRPr="005F7C9A">
        <w:rPr>
          <w:rFonts w:ascii="Times New Roman" w:eastAsia="Times New Roman" w:hAnsi="Times New Roman" w:cs="Times New Roman"/>
        </w:rPr>
        <w:t xml:space="preserve">Current moderate/severe traumatic brain injury (TBI) guidelines suggest the use of an intracranial pressure (ICP) treatment threshold of 20 mmHg or 22 mmHg. Over the past decade, the use of various cerebral physiology monitoring devices has been incorporated into neurocritical care practice and termed "multimodal monitoring." Such modalities include those that monitor systemic hemodynamics, systemic and brain oxygenation, cerebral blood flow </w:t>
      </w:r>
      <w:r w:rsidRPr="005F7C9A">
        <w:rPr>
          <w:rFonts w:ascii="Times New Roman" w:eastAsia="Times New Roman" w:hAnsi="Times New Roman" w:cs="Times New Roman"/>
        </w:rPr>
        <w:lastRenderedPageBreak/>
        <w:t xml:space="preserve">(CBF), cerebral autoregulation, electrophysiology, and cerebral metabolism. Given that the relationship between ICP and outcomes is not yet entirely understood, a comprehensive review of the literature on the associations between ICP thresholds and multimodal monitoring is still needed. </w:t>
      </w:r>
    </w:p>
    <w:p w14:paraId="21815344" w14:textId="77777777" w:rsidR="005F7C9A" w:rsidRPr="005F7C9A" w:rsidRDefault="005F7C9A" w:rsidP="005F7C9A">
      <w:pP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b/>
          <w:bCs/>
        </w:rPr>
        <w:t xml:space="preserve">Methods: </w:t>
      </w:r>
      <w:r w:rsidRPr="005F7C9A">
        <w:rPr>
          <w:rFonts w:ascii="Times New Roman" w:eastAsia="Times New Roman" w:hAnsi="Times New Roman" w:cs="Times New Roman"/>
        </w:rPr>
        <w:t xml:space="preserve">We conducted a scoping review of the literature for studies that present an objective statistical association between ICP above/below threshold and any multimodal monitoring variable. MEDLINE, BIOSIS, Cochrane library, EMBASE, Global Health, and SCOPUS were searched from inception to July 2022 for relevant articles. Full-length, peer-reviewed, original works with a sample size of ≥50 moderate-severe TBI patients were included in this study. </w:t>
      </w:r>
    </w:p>
    <w:p w14:paraId="7964113F" w14:textId="77777777" w:rsidR="005F7C9A" w:rsidRPr="005F7C9A" w:rsidRDefault="005F7C9A" w:rsidP="005F7C9A">
      <w:pP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b/>
          <w:bCs/>
        </w:rPr>
        <w:t xml:space="preserve">Results: </w:t>
      </w:r>
      <w:r w:rsidRPr="005F7C9A">
        <w:rPr>
          <w:rFonts w:ascii="Times New Roman" w:eastAsia="Times New Roman" w:hAnsi="Times New Roman" w:cs="Times New Roman"/>
        </w:rPr>
        <w:t xml:space="preserve">A total of 13 articles were deemed eligible for final inclusion. The included articles were significantly heterogenous in terms of their designs, demographics, and results, making it difficult to draw any definitive conclusions. No literature describing the association between </w:t>
      </w:r>
      <w:proofErr w:type="gramStart"/>
      <w:r w:rsidRPr="005F7C9A">
        <w:rPr>
          <w:rFonts w:ascii="Times New Roman" w:eastAsia="Times New Roman" w:hAnsi="Times New Roman" w:cs="Times New Roman"/>
        </w:rPr>
        <w:t>guideline-based</w:t>
      </w:r>
      <w:proofErr w:type="gramEnd"/>
      <w:r w:rsidRPr="005F7C9A">
        <w:rPr>
          <w:rFonts w:ascii="Times New Roman" w:eastAsia="Times New Roman" w:hAnsi="Times New Roman" w:cs="Times New Roman"/>
        </w:rPr>
        <w:t xml:space="preserve"> ICP thresholds and measures of brain electrophysiology, cerebral metabolism, or direct metrics of CBF was found. </w:t>
      </w:r>
    </w:p>
    <w:p w14:paraId="0EF68AE9" w14:textId="77777777" w:rsidR="005F7C9A" w:rsidRPr="005F7C9A" w:rsidRDefault="005F7C9A" w:rsidP="005F7C9A">
      <w:pP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b/>
          <w:bCs/>
        </w:rPr>
        <w:t xml:space="preserve">Conclusion: </w:t>
      </w:r>
      <w:r w:rsidRPr="005F7C9A">
        <w:rPr>
          <w:rFonts w:ascii="Times New Roman" w:eastAsia="Times New Roman" w:hAnsi="Times New Roman" w:cs="Times New Roman"/>
        </w:rPr>
        <w:t xml:space="preserve">There is currently little literature that presents objective statistical associations between ICP thresholds and multimodal monitoring physiology. However, overall, the literature indicates that having ICP above </w:t>
      </w:r>
      <w:proofErr w:type="gramStart"/>
      <w:r w:rsidRPr="005F7C9A">
        <w:rPr>
          <w:rFonts w:ascii="Times New Roman" w:eastAsia="Times New Roman" w:hAnsi="Times New Roman" w:cs="Times New Roman"/>
        </w:rPr>
        <w:t>guideline based</w:t>
      </w:r>
      <w:proofErr w:type="gramEnd"/>
      <w:r w:rsidRPr="005F7C9A">
        <w:rPr>
          <w:rFonts w:ascii="Times New Roman" w:eastAsia="Times New Roman" w:hAnsi="Times New Roman" w:cs="Times New Roman"/>
        </w:rPr>
        <w:t xml:space="preserve"> thresholds is associated with increased blood pressure, increased cardiac decoupling, reduced parenchymal brain oxygen tension, and impaired cerebral autoregulation, with no association with CBF velocity within the therapeutic range of ICP. There was insufficient literature to comment on other multimodal monitoring measures. </w:t>
      </w:r>
    </w:p>
    <w:p w14:paraId="233BCB36" w14:textId="77777777" w:rsidR="005F7C9A" w:rsidRPr="005F7C9A" w:rsidRDefault="005F7C9A" w:rsidP="005F7C9A">
      <w:pPr>
        <w:pBdr>
          <w:bottom w:val="single" w:sz="12" w:space="1" w:color="auto"/>
        </w:pBdr>
        <w:spacing w:before="100" w:beforeAutospacing="1" w:after="100" w:afterAutospacing="1"/>
        <w:rPr>
          <w:rFonts w:ascii="Times New Roman" w:eastAsia="Times New Roman" w:hAnsi="Times New Roman" w:cs="Times New Roman"/>
        </w:rPr>
      </w:pPr>
      <w:r w:rsidRPr="005F7C9A">
        <w:rPr>
          <w:rFonts w:ascii="Times New Roman" w:eastAsia="Times New Roman" w:hAnsi="Times New Roman" w:cs="Times New Roman"/>
          <w:b/>
          <w:bCs/>
        </w:rPr>
        <w:t xml:space="preserve">Keywords: </w:t>
      </w:r>
      <w:r w:rsidRPr="005F7C9A">
        <w:rPr>
          <w:rFonts w:ascii="Times New Roman" w:eastAsia="Times New Roman" w:hAnsi="Times New Roman" w:cs="Times New Roman"/>
        </w:rPr>
        <w:t xml:space="preserve">Acute traumatic neural injury; ICP thresholds; Multimodal monitoring; TBI. </w:t>
      </w:r>
    </w:p>
    <w:p w14:paraId="08AC7FEC" w14:textId="77777777" w:rsidR="00704EEC" w:rsidRDefault="00704EEC" w:rsidP="008E4A99"/>
    <w:sectPr w:rsidR="0070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D3B67"/>
    <w:multiLevelType w:val="multilevel"/>
    <w:tmpl w:val="5ACE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86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99"/>
    <w:rsid w:val="0034388D"/>
    <w:rsid w:val="005E1AC7"/>
    <w:rsid w:val="005E4909"/>
    <w:rsid w:val="005F7C9A"/>
    <w:rsid w:val="00704EEC"/>
    <w:rsid w:val="008E4A99"/>
    <w:rsid w:val="00E5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86FEF"/>
  <w15:chartTrackingRefBased/>
  <w15:docId w15:val="{33AC6BDB-2C2C-B548-895B-9094C322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7C9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7C9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C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7C9A"/>
    <w:rPr>
      <w:rFonts w:ascii="Times New Roman" w:eastAsia="Times New Roman" w:hAnsi="Times New Roman" w:cs="Times New Roman"/>
      <w:b/>
      <w:bCs/>
      <w:sz w:val="36"/>
      <w:szCs w:val="36"/>
    </w:rPr>
  </w:style>
  <w:style w:type="character" w:customStyle="1" w:styleId="authors-list-item">
    <w:name w:val="authors-list-item"/>
    <w:basedOn w:val="DefaultParagraphFont"/>
    <w:rsid w:val="005F7C9A"/>
  </w:style>
  <w:style w:type="character" w:styleId="Hyperlink">
    <w:name w:val="Hyperlink"/>
    <w:basedOn w:val="DefaultParagraphFont"/>
    <w:uiPriority w:val="99"/>
    <w:semiHidden/>
    <w:unhideWhenUsed/>
    <w:rsid w:val="005F7C9A"/>
    <w:rPr>
      <w:color w:val="0000FF"/>
      <w:u w:val="single"/>
    </w:rPr>
  </w:style>
  <w:style w:type="character" w:customStyle="1" w:styleId="author-sup-separator">
    <w:name w:val="author-sup-separator"/>
    <w:basedOn w:val="DefaultParagraphFont"/>
    <w:rsid w:val="005F7C9A"/>
  </w:style>
  <w:style w:type="character" w:customStyle="1" w:styleId="comma">
    <w:name w:val="comma"/>
    <w:basedOn w:val="DefaultParagraphFont"/>
    <w:rsid w:val="005F7C9A"/>
  </w:style>
  <w:style w:type="character" w:customStyle="1" w:styleId="identifier">
    <w:name w:val="identifier"/>
    <w:basedOn w:val="DefaultParagraphFont"/>
    <w:rsid w:val="005F7C9A"/>
  </w:style>
  <w:style w:type="character" w:customStyle="1" w:styleId="id-label">
    <w:name w:val="id-label"/>
    <w:basedOn w:val="DefaultParagraphFont"/>
    <w:rsid w:val="005F7C9A"/>
  </w:style>
  <w:style w:type="character" w:styleId="Strong">
    <w:name w:val="Strong"/>
    <w:basedOn w:val="DefaultParagraphFont"/>
    <w:uiPriority w:val="22"/>
    <w:qFormat/>
    <w:rsid w:val="005F7C9A"/>
    <w:rPr>
      <w:b/>
      <w:bCs/>
    </w:rPr>
  </w:style>
  <w:style w:type="paragraph" w:styleId="NormalWeb">
    <w:name w:val="Normal (Web)"/>
    <w:basedOn w:val="Normal"/>
    <w:uiPriority w:val="99"/>
    <w:semiHidden/>
    <w:unhideWhenUsed/>
    <w:rsid w:val="005F7C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3765">
      <w:bodyDiv w:val="1"/>
      <w:marLeft w:val="0"/>
      <w:marRight w:val="0"/>
      <w:marTop w:val="0"/>
      <w:marBottom w:val="0"/>
      <w:divBdr>
        <w:top w:val="none" w:sz="0" w:space="0" w:color="auto"/>
        <w:left w:val="none" w:sz="0" w:space="0" w:color="auto"/>
        <w:bottom w:val="none" w:sz="0" w:space="0" w:color="auto"/>
        <w:right w:val="none" w:sz="0" w:space="0" w:color="auto"/>
      </w:divBdr>
      <w:divsChild>
        <w:div w:id="1408922936">
          <w:marLeft w:val="0"/>
          <w:marRight w:val="0"/>
          <w:marTop w:val="0"/>
          <w:marBottom w:val="0"/>
          <w:divBdr>
            <w:top w:val="none" w:sz="0" w:space="0" w:color="auto"/>
            <w:left w:val="none" w:sz="0" w:space="0" w:color="auto"/>
            <w:bottom w:val="none" w:sz="0" w:space="0" w:color="auto"/>
            <w:right w:val="none" w:sz="0" w:space="0" w:color="auto"/>
          </w:divBdr>
        </w:div>
      </w:divsChild>
    </w:div>
    <w:div w:id="1612277944">
      <w:bodyDiv w:val="1"/>
      <w:marLeft w:val="0"/>
      <w:marRight w:val="0"/>
      <w:marTop w:val="0"/>
      <w:marBottom w:val="0"/>
      <w:divBdr>
        <w:top w:val="none" w:sz="0" w:space="0" w:color="auto"/>
        <w:left w:val="none" w:sz="0" w:space="0" w:color="auto"/>
        <w:bottom w:val="none" w:sz="0" w:space="0" w:color="auto"/>
        <w:right w:val="none" w:sz="0" w:space="0" w:color="auto"/>
      </w:divBdr>
      <w:divsChild>
        <w:div w:id="378818636">
          <w:marLeft w:val="0"/>
          <w:marRight w:val="0"/>
          <w:marTop w:val="0"/>
          <w:marBottom w:val="0"/>
          <w:divBdr>
            <w:top w:val="none" w:sz="0" w:space="0" w:color="auto"/>
            <w:left w:val="none" w:sz="0" w:space="0" w:color="auto"/>
            <w:bottom w:val="none" w:sz="0" w:space="0" w:color="auto"/>
            <w:right w:val="none" w:sz="0" w:space="0" w:color="auto"/>
          </w:divBdr>
          <w:divsChild>
            <w:div w:id="960068517">
              <w:marLeft w:val="0"/>
              <w:marRight w:val="0"/>
              <w:marTop w:val="0"/>
              <w:marBottom w:val="0"/>
              <w:divBdr>
                <w:top w:val="none" w:sz="0" w:space="0" w:color="auto"/>
                <w:left w:val="none" w:sz="0" w:space="0" w:color="auto"/>
                <w:bottom w:val="none" w:sz="0" w:space="0" w:color="auto"/>
                <w:right w:val="none" w:sz="0" w:space="0" w:color="auto"/>
              </w:divBdr>
              <w:divsChild>
                <w:div w:id="12338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115">
          <w:marLeft w:val="0"/>
          <w:marRight w:val="0"/>
          <w:marTop w:val="0"/>
          <w:marBottom w:val="0"/>
          <w:divBdr>
            <w:top w:val="none" w:sz="0" w:space="0" w:color="auto"/>
            <w:left w:val="none" w:sz="0" w:space="0" w:color="auto"/>
            <w:bottom w:val="none" w:sz="0" w:space="0" w:color="auto"/>
            <w:right w:val="none" w:sz="0" w:space="0" w:color="auto"/>
          </w:divBdr>
        </w:div>
        <w:div w:id="190605244">
          <w:marLeft w:val="0"/>
          <w:marRight w:val="0"/>
          <w:marTop w:val="0"/>
          <w:marBottom w:val="0"/>
          <w:divBdr>
            <w:top w:val="none" w:sz="0" w:space="0" w:color="auto"/>
            <w:left w:val="none" w:sz="0" w:space="0" w:color="auto"/>
            <w:bottom w:val="none" w:sz="0" w:space="0" w:color="auto"/>
            <w:right w:val="none" w:sz="0" w:space="0" w:color="auto"/>
          </w:divBdr>
        </w:div>
        <w:div w:id="1000429163">
          <w:marLeft w:val="0"/>
          <w:marRight w:val="0"/>
          <w:marTop w:val="0"/>
          <w:marBottom w:val="0"/>
          <w:divBdr>
            <w:top w:val="none" w:sz="0" w:space="0" w:color="auto"/>
            <w:left w:val="none" w:sz="0" w:space="0" w:color="auto"/>
            <w:bottom w:val="none" w:sz="0" w:space="0" w:color="auto"/>
            <w:right w:val="none" w:sz="0" w:space="0" w:color="auto"/>
          </w:divBdr>
          <w:divsChild>
            <w:div w:id="772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3678">
      <w:bodyDiv w:val="1"/>
      <w:marLeft w:val="0"/>
      <w:marRight w:val="0"/>
      <w:marTop w:val="0"/>
      <w:marBottom w:val="0"/>
      <w:divBdr>
        <w:top w:val="none" w:sz="0" w:space="0" w:color="auto"/>
        <w:left w:val="none" w:sz="0" w:space="0" w:color="auto"/>
        <w:bottom w:val="none" w:sz="0" w:space="0" w:color="auto"/>
        <w:right w:val="none" w:sz="0" w:space="0" w:color="auto"/>
      </w:divBdr>
      <w:divsChild>
        <w:div w:id="1897818969">
          <w:marLeft w:val="0"/>
          <w:marRight w:val="0"/>
          <w:marTop w:val="0"/>
          <w:marBottom w:val="0"/>
          <w:divBdr>
            <w:top w:val="none" w:sz="0" w:space="0" w:color="auto"/>
            <w:left w:val="none" w:sz="0" w:space="0" w:color="auto"/>
            <w:bottom w:val="none" w:sz="0" w:space="0" w:color="auto"/>
            <w:right w:val="none" w:sz="0" w:space="0" w:color="auto"/>
          </w:divBdr>
          <w:divsChild>
            <w:div w:id="251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067617/" TargetMode="External"/><Relationship Id="rId13" Type="http://schemas.openxmlformats.org/officeDocument/2006/relationships/hyperlink" Target="https://pubmed.ncbi.nlm.nih.gov/37067617/" TargetMode="External"/><Relationship Id="rId18" Type="http://schemas.openxmlformats.org/officeDocument/2006/relationships/hyperlink" Target="https://pubmed.ncbi.nlm.nih.gov/?sort=date&amp;term=Zeiler+FA&amp;cauthor_id=370676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med.ncbi.nlm.nih.gov/37067617/" TargetMode="External"/><Relationship Id="rId7" Type="http://schemas.openxmlformats.org/officeDocument/2006/relationships/hyperlink" Target="https://pubmed.ncbi.nlm.nih.gov/?sort=date&amp;term=Amenta+F&amp;cauthor_id=37067617" TargetMode="External"/><Relationship Id="rId12" Type="http://schemas.openxmlformats.org/officeDocument/2006/relationships/hyperlink" Target="https://pubmed.ncbi.nlm.nih.gov/?sort=date&amp;term=Froese+L&amp;cauthor_id=37067617" TargetMode="External"/><Relationship Id="rId17" Type="http://schemas.openxmlformats.org/officeDocument/2006/relationships/hyperlink" Target="https://pubmed.ncbi.nlm.nih.gov/37067617/" TargetMode="External"/><Relationship Id="rId25" Type="http://schemas.openxmlformats.org/officeDocument/2006/relationships/hyperlink" Target="https://doi.org/10.1007/s00701-023-05587-6" TargetMode="External"/><Relationship Id="rId2" Type="http://schemas.openxmlformats.org/officeDocument/2006/relationships/styles" Target="styles.xml"/><Relationship Id="rId16" Type="http://schemas.openxmlformats.org/officeDocument/2006/relationships/hyperlink" Target="https://pubmed.ncbi.nlm.nih.gov/?sort=date&amp;term=Marquez+I&amp;cauthor_id=37067617" TargetMode="External"/><Relationship Id="rId20" Type="http://schemas.openxmlformats.org/officeDocument/2006/relationships/hyperlink" Target="https://pubmed.ncbi.nlm.nih.gov/37067617/" TargetMode="External"/><Relationship Id="rId1" Type="http://schemas.openxmlformats.org/officeDocument/2006/relationships/numbering" Target="numbering.xml"/><Relationship Id="rId6" Type="http://schemas.openxmlformats.org/officeDocument/2006/relationships/hyperlink" Target="https://pubmed.ncbi.nlm.nih.gov/37067617/" TargetMode="External"/><Relationship Id="rId11" Type="http://schemas.openxmlformats.org/officeDocument/2006/relationships/hyperlink" Target="https://pubmed.ncbi.nlm.nih.gov/37067617/" TargetMode="External"/><Relationship Id="rId24" Type="http://schemas.openxmlformats.org/officeDocument/2006/relationships/hyperlink" Target="https://pubmed.ncbi.nlm.nih.gov/37067617/" TargetMode="External"/><Relationship Id="rId5" Type="http://schemas.openxmlformats.org/officeDocument/2006/relationships/hyperlink" Target="https://pubmed.ncbi.nlm.nih.gov/?sort=date&amp;term=Stein+KY&amp;cauthor_id=37067617" TargetMode="External"/><Relationship Id="rId15" Type="http://schemas.openxmlformats.org/officeDocument/2006/relationships/hyperlink" Target="https://pubmed.ncbi.nlm.nih.gov/37067617/" TargetMode="External"/><Relationship Id="rId23" Type="http://schemas.openxmlformats.org/officeDocument/2006/relationships/hyperlink" Target="https://pubmed.ncbi.nlm.nih.gov/37067617/" TargetMode="External"/><Relationship Id="rId10" Type="http://schemas.openxmlformats.org/officeDocument/2006/relationships/hyperlink" Target="https://pubmed.ncbi.nlm.nih.gov/37067617/" TargetMode="External"/><Relationship Id="rId19" Type="http://schemas.openxmlformats.org/officeDocument/2006/relationships/hyperlink" Target="https://pubmed.ncbi.nlm.nih.gov/37067617/" TargetMode="External"/><Relationship Id="rId4" Type="http://schemas.openxmlformats.org/officeDocument/2006/relationships/webSettings" Target="webSettings.xml"/><Relationship Id="rId9" Type="http://schemas.openxmlformats.org/officeDocument/2006/relationships/hyperlink" Target="https://pubmed.ncbi.nlm.nih.gov/?sort=date&amp;term=Gomez+A&amp;cauthor_id=37067617" TargetMode="External"/><Relationship Id="rId14" Type="http://schemas.openxmlformats.org/officeDocument/2006/relationships/hyperlink" Target="https://pubmed.ncbi.nlm.nih.gov/37067617/" TargetMode="External"/><Relationship Id="rId22" Type="http://schemas.openxmlformats.org/officeDocument/2006/relationships/hyperlink" Target="https://pubmed.ncbi.nlm.nih.gov/370676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Dewleen</dc:creator>
  <cp:keywords/>
  <dc:description/>
  <cp:lastModifiedBy>Baker, Dewleen</cp:lastModifiedBy>
  <cp:revision>3</cp:revision>
  <dcterms:created xsi:type="dcterms:W3CDTF">2023-12-15T22:44:00Z</dcterms:created>
  <dcterms:modified xsi:type="dcterms:W3CDTF">2023-12-15T22:47:00Z</dcterms:modified>
</cp:coreProperties>
</file>